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Регламент идентификация опасных/вредных факторов и оценка производственных и профессиональных рисков</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 </w:t>
      </w:r>
      <w:r>
        <w:rPr>
          <w:rFonts w:hAnsi="Times New Roman" w:cs="Times New Roman"/>
          <w:b/>
          <w:bCs/>
          <w:color w:val="000000"/>
          <w:sz w:val="24"/>
          <w:szCs w:val="24"/>
        </w:rPr>
        <w:t>Область применения</w:t>
      </w:r>
    </w:p>
    <w:p>
      <w:pPr>
        <w:spacing w:line="240" w:lineRule="auto"/>
        <w:rPr>
          <w:rFonts w:hAnsi="Times New Roman" w:cs="Times New Roman"/>
          <w:color w:val="000000"/>
          <w:sz w:val="24"/>
          <w:szCs w:val="24"/>
        </w:rPr>
      </w:pPr>
      <w:r>
        <w:rPr>
          <w:rFonts w:hAnsi="Times New Roman" w:cs="Times New Roman"/>
          <w:color w:val="000000"/>
          <w:sz w:val="24"/>
          <w:szCs w:val="24"/>
        </w:rPr>
        <w:t>1.1 Настоящий регламент определяет:</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общий порядок идентификации опасностей и оценки рисков в структурных подразделениях (подразделениях) в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 порядок планирования мероприятий по охране труда в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1.2 Требования настоящего регламента распространяются на все структурные подразделения </w:t>
      </w:r>
      <w:r>
        <w:rPr>
          <w:rFonts w:hAnsi="Times New Roman" w:cs="Times New Roman"/>
          <w:color w:val="000000"/>
          <w:sz w:val="24"/>
          <w:szCs w:val="24"/>
        </w:rPr>
        <w:t>___________</w:t>
      </w:r>
      <w:r>
        <w:rPr>
          <w:rFonts w:hAnsi="Times New Roman" w:cs="Times New Roman"/>
          <w:color w:val="000000"/>
          <w:sz w:val="24"/>
          <w:szCs w:val="24"/>
        </w:rPr>
        <w:t>.</w:t>
      </w:r>
    </w:p>
    <w:p>
      <w:pPr>
        <w:spacing w:line="600" w:lineRule="atLeast"/>
        <w:rPr>
          <w:b/>
          <w:bCs/>
          <w:color w:val="252525"/>
          <w:spacing w:val="-2"/>
          <w:sz w:val="48"/>
          <w:szCs w:val="48"/>
        </w:rPr>
      </w:pPr>
      <w:r>
        <w:rPr>
          <w:b/>
          <w:bCs/>
          <w:color w:val="252525"/>
          <w:spacing w:val="-2"/>
          <w:sz w:val="48"/>
          <w:szCs w:val="48"/>
        </w:rPr>
        <w:t>2 Используемые нормативно-правовые акты</w:t>
      </w:r>
    </w:p>
    <w:p>
      <w:pPr>
        <w:spacing w:line="240" w:lineRule="auto"/>
        <w:rPr>
          <w:rFonts w:hAnsi="Times New Roman" w:cs="Times New Roman"/>
          <w:color w:val="000000"/>
          <w:sz w:val="24"/>
          <w:szCs w:val="24"/>
        </w:rPr>
      </w:pPr>
      <w:r>
        <w:rPr>
          <w:rFonts w:hAnsi="Times New Roman" w:cs="Times New Roman"/>
          <w:color w:val="000000"/>
          <w:sz w:val="24"/>
          <w:szCs w:val="24"/>
        </w:rPr>
        <w:t>2.1 При разработке регламента использованы следующие нормативные документы: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2.1.2 </w:t>
      </w:r>
      <w:r>
        <w:rPr>
          <w:rFonts w:hAnsi="Times New Roman" w:cs="Times New Roman"/>
          <w:b/>
          <w:bCs/>
          <w:color w:val="000000"/>
          <w:sz w:val="24"/>
          <w:szCs w:val="24"/>
        </w:rPr>
        <w:t>Трудовой кодекс РФ</w:t>
      </w:r>
      <w:r>
        <w:rPr>
          <w:rFonts w:hAnsi="Times New Roman" w:cs="Times New Roman"/>
          <w:color w:val="000000"/>
          <w:sz w:val="24"/>
          <w:szCs w:val="24"/>
        </w:rPr>
        <w:t xml:space="preserve">от </w:t>
      </w:r>
      <w:r>
        <w:rPr>
          <w:rFonts w:hAnsi="Times New Roman" w:cs="Times New Roman"/>
          <w:color w:val="000000"/>
          <w:sz w:val="24"/>
          <w:szCs w:val="24"/>
        </w:rPr>
        <w:t>30.12.2001 № 197-ФЗ</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2.1.3</w:t>
      </w:r>
      <w:r>
        <w:rPr>
          <w:rFonts w:hAnsi="Times New Roman" w:cs="Times New Roman"/>
          <w:b/>
          <w:bCs/>
          <w:color w:val="000000"/>
          <w:sz w:val="24"/>
          <w:szCs w:val="24"/>
        </w:rPr>
        <w:t>Градостроительный кодекс РФ</w:t>
      </w:r>
      <w:r>
        <w:rPr>
          <w:rFonts w:hAnsi="Times New Roman" w:cs="Times New Roman"/>
          <w:color w:val="000000"/>
          <w:sz w:val="24"/>
          <w:szCs w:val="24"/>
        </w:rPr>
        <w:t xml:space="preserve"> от </w:t>
      </w:r>
      <w:r>
        <w:rPr>
          <w:rFonts w:hAnsi="Times New Roman" w:cs="Times New Roman"/>
          <w:color w:val="000000"/>
          <w:sz w:val="24"/>
          <w:szCs w:val="24"/>
        </w:rPr>
        <w:t>29.12.2004 № 190-ФЗ</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2.1.4. </w:t>
      </w:r>
      <w:r>
        <w:rPr>
          <w:rFonts w:hAnsi="Times New Roman" w:cs="Times New Roman"/>
          <w:b/>
          <w:bCs/>
          <w:color w:val="000000"/>
          <w:sz w:val="24"/>
          <w:szCs w:val="24"/>
        </w:rPr>
        <w:t>Приказ Минтруда России от 28.12.2021 № 926</w:t>
      </w:r>
      <w:r>
        <w:rPr>
          <w:rFonts w:hAnsi="Times New Roman" w:cs="Times New Roman"/>
          <w:color w:val="000000"/>
          <w:sz w:val="24"/>
          <w:szCs w:val="24"/>
        </w:rPr>
        <w:t>, Об утверждении Рекомендаций по выбору методов оценки уровней профессиональных рисков и по снижению уровней таких рисков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2.1.6 </w:t>
      </w:r>
      <w:r>
        <w:rPr>
          <w:rFonts w:hAnsi="Times New Roman" w:cs="Times New Roman"/>
          <w:b/>
          <w:bCs/>
          <w:color w:val="000000"/>
          <w:sz w:val="24"/>
          <w:szCs w:val="24"/>
        </w:rPr>
        <w:t>ГОСТ 12.0.003</w:t>
      </w:r>
      <w:r>
        <w:rPr>
          <w:rFonts w:hAnsi="Times New Roman" w:cs="Times New Roman"/>
          <w:color w:val="000000"/>
          <w:sz w:val="24"/>
          <w:szCs w:val="24"/>
        </w:rPr>
        <w:t>Система стандартов безопасности труда. Опасные и вредные производственные факторы. Классификация.</w:t>
      </w:r>
    </w:p>
    <w:p>
      <w:pPr>
        <w:spacing w:line="240" w:lineRule="auto"/>
        <w:rPr>
          <w:rFonts w:hAnsi="Times New Roman" w:cs="Times New Roman"/>
          <w:color w:val="000000"/>
          <w:sz w:val="24"/>
          <w:szCs w:val="24"/>
        </w:rPr>
      </w:pPr>
      <w:r>
        <w:rPr>
          <w:rFonts w:hAnsi="Times New Roman" w:cs="Times New Roman"/>
          <w:color w:val="000000"/>
          <w:sz w:val="24"/>
          <w:szCs w:val="24"/>
        </w:rPr>
        <w:t>2.1.7</w:t>
      </w:r>
      <w:r>
        <w:rPr>
          <w:rFonts w:hAnsi="Times New Roman" w:cs="Times New Roman"/>
          <w:b/>
          <w:bCs/>
          <w:color w:val="000000"/>
          <w:sz w:val="24"/>
          <w:szCs w:val="24"/>
        </w:rPr>
        <w:t xml:space="preserve"> ГОСТ Р ИСО/МЭК 31010-2011 Национальный стандарт Российской Федерации</w:t>
      </w:r>
      <w:r>
        <w:rPr>
          <w:rFonts w:hAnsi="Times New Roman" w:cs="Times New Roman"/>
          <w:color w:val="000000"/>
          <w:sz w:val="24"/>
          <w:szCs w:val="24"/>
        </w:rPr>
        <w:t>. Менеджмент риска. Методы оценки риска.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2.1.8 </w:t>
      </w:r>
      <w:r>
        <w:rPr>
          <w:rFonts w:hAnsi="Times New Roman" w:cs="Times New Roman"/>
          <w:b/>
          <w:bCs/>
          <w:color w:val="000000"/>
          <w:sz w:val="24"/>
          <w:szCs w:val="24"/>
        </w:rPr>
        <w:t>ТР ТС 010/2011</w:t>
      </w:r>
      <w:r>
        <w:rPr>
          <w:rFonts w:hAnsi="Times New Roman" w:cs="Times New Roman"/>
          <w:color w:val="000000"/>
          <w:sz w:val="24"/>
          <w:szCs w:val="24"/>
        </w:rPr>
        <w:t xml:space="preserve">Технический регламент таможенного союза о безопасности машин и оборудования – утвержден </w:t>
      </w:r>
      <w:r>
        <w:rPr>
          <w:rFonts w:hAnsi="Times New Roman" w:cs="Times New Roman"/>
          <w:color w:val="000000"/>
          <w:sz w:val="24"/>
          <w:szCs w:val="24"/>
        </w:rPr>
        <w:t>решением Комиссии Таможенного союза от 18.10.2011 № 823</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2.1.9 </w:t>
      </w:r>
      <w:r>
        <w:rPr>
          <w:rFonts w:hAnsi="Times New Roman" w:cs="Times New Roman"/>
          <w:b/>
          <w:bCs/>
          <w:color w:val="000000"/>
          <w:sz w:val="24"/>
          <w:szCs w:val="24"/>
        </w:rPr>
        <w:t>Приказ Министерства труда и социальной защиты РФ от 24.01.2014 № 33н</w:t>
      </w:r>
      <w:r>
        <w:rPr>
          <w:rFonts w:hAnsi="Times New Roman" w:cs="Times New Roman"/>
          <w:color w:val="000000"/>
          <w:sz w:val="24"/>
          <w:szCs w:val="24"/>
        </w:rPr>
        <w:t>«Об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pPr>
        <w:spacing w:line="240" w:lineRule="auto"/>
        <w:rPr>
          <w:rFonts w:hAnsi="Times New Roman" w:cs="Times New Roman"/>
          <w:color w:val="000000"/>
          <w:sz w:val="24"/>
          <w:szCs w:val="24"/>
        </w:rPr>
      </w:pPr>
      <w:r>
        <w:rPr>
          <w:rFonts w:hAnsi="Times New Roman" w:cs="Times New Roman"/>
          <w:color w:val="000000"/>
          <w:sz w:val="24"/>
          <w:szCs w:val="24"/>
        </w:rPr>
        <w:t>2.1.10 </w:t>
      </w:r>
      <w:r>
        <w:rPr>
          <w:rFonts w:hAnsi="Times New Roman" w:cs="Times New Roman"/>
          <w:b/>
          <w:bCs/>
          <w:color w:val="000000"/>
          <w:sz w:val="24"/>
          <w:szCs w:val="24"/>
        </w:rPr>
        <w:t> Федеральный закон «О промышленной безопасности опасных производственных объектов» от 21.07.1997 № 116 - ФЗ</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2.1.13 ГОСТ ISO 12100-2013 Межгосударственный стандарт. Безопасность машин. Основные принципы конструирования. Оценки риска и снижения риска.</w:t>
      </w:r>
    </w:p>
    <w:p>
      <w:pPr>
        <w:spacing w:line="600" w:lineRule="atLeast"/>
        <w:rPr>
          <w:b/>
          <w:bCs/>
          <w:color w:val="252525"/>
          <w:spacing w:val="-2"/>
          <w:sz w:val="48"/>
          <w:szCs w:val="48"/>
        </w:rPr>
      </w:pPr>
      <w:r>
        <w:rPr>
          <w:b/>
          <w:bCs/>
          <w:color w:val="252525"/>
          <w:spacing w:val="-2"/>
          <w:sz w:val="48"/>
          <w:szCs w:val="48"/>
        </w:rPr>
        <w:t>3 Общие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3.1 Процедура идентификации опасностей и оценка рисков выполняется с целью планирования деятельности и обоснования мероприятий по управлению рисками в области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3.2 Основными целями процедуры идентификации опасностей и оценки рисков в области ОТ являются:</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 </w:t>
      </w:r>
      <w:r>
        <w:rPr>
          <w:rFonts w:hAnsi="Times New Roman" w:cs="Times New Roman"/>
          <w:color w:val="000000"/>
          <w:sz w:val="24"/>
          <w:szCs w:val="24"/>
        </w:rPr>
        <w:t>идентификация опасностей и определение рисков;</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 </w:t>
      </w:r>
      <w:r>
        <w:rPr>
          <w:rFonts w:hAnsi="Times New Roman" w:cs="Times New Roman"/>
          <w:color w:val="000000"/>
          <w:sz w:val="24"/>
          <w:szCs w:val="24"/>
        </w:rPr>
        <w:t xml:space="preserve">оценка рисков с учетом принятого в </w:t>
      </w:r>
      <w:r>
        <w:rPr>
          <w:rFonts w:hAnsi="Times New Roman" w:cs="Times New Roman"/>
          <w:color w:val="000000"/>
          <w:sz w:val="24"/>
          <w:szCs w:val="24"/>
        </w:rPr>
        <w:t>___________</w:t>
      </w:r>
      <w:r>
        <w:rPr>
          <w:rFonts w:hAnsi="Times New Roman" w:cs="Times New Roman"/>
          <w:color w:val="000000"/>
          <w:sz w:val="24"/>
          <w:szCs w:val="24"/>
        </w:rPr>
        <w:t xml:space="preserve"> уровня допустимости;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 </w:t>
      </w:r>
      <w:r>
        <w:rPr>
          <w:rFonts w:hAnsi="Times New Roman" w:cs="Times New Roman"/>
          <w:color w:val="000000"/>
          <w:sz w:val="24"/>
          <w:szCs w:val="24"/>
        </w:rPr>
        <w:t>определение дополнительных мер, а также планирование и разработка мероприятий по снижению уровня рисков до приемлемого уровня;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3.3 Идентификация опасностей и оценка рисков выполняется для всех работников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3.4 Для идентификации опасностей и оценки рисков распоряжением руководителя структурного подразделения (подразделения) </w:t>
      </w:r>
      <w:r>
        <w:rPr>
          <w:rFonts w:hAnsi="Times New Roman" w:cs="Times New Roman"/>
          <w:color w:val="000000"/>
          <w:sz w:val="24"/>
          <w:szCs w:val="24"/>
        </w:rPr>
        <w:t>___________</w:t>
      </w:r>
      <w:r>
        <w:rPr>
          <w:rFonts w:hAnsi="Times New Roman" w:cs="Times New Roman"/>
          <w:color w:val="000000"/>
          <w:sz w:val="24"/>
          <w:szCs w:val="24"/>
        </w:rPr>
        <w:t xml:space="preserve"> назначается комиссия по идентификации опасностей, оценке риска и определению мер управления (далее Комиссия).</w:t>
      </w:r>
    </w:p>
    <w:p>
      <w:pPr>
        <w:spacing w:line="240" w:lineRule="auto"/>
        <w:rPr>
          <w:rFonts w:hAnsi="Times New Roman" w:cs="Times New Roman"/>
          <w:color w:val="000000"/>
          <w:sz w:val="24"/>
          <w:szCs w:val="24"/>
        </w:rPr>
      </w:pPr>
      <w:r>
        <w:rPr>
          <w:rFonts w:hAnsi="Times New Roman" w:cs="Times New Roman"/>
          <w:color w:val="000000"/>
          <w:sz w:val="24"/>
          <w:szCs w:val="24"/>
        </w:rPr>
        <w:t>3.5 Состав комиссии определяется исходя из целей и выбранной методики оценки рисков. Председателем Комиссии назначается ответственный за охрану труда в структурном подразделении. В состав Комиссии необходимо назначить руководителей и специалистов подразделения.</w:t>
      </w:r>
    </w:p>
    <w:p>
      <w:pPr>
        <w:spacing w:line="600" w:lineRule="atLeast"/>
        <w:rPr>
          <w:b/>
          <w:bCs/>
          <w:color w:val="252525"/>
          <w:spacing w:val="-2"/>
          <w:sz w:val="48"/>
          <w:szCs w:val="48"/>
        </w:rPr>
      </w:pPr>
      <w:r>
        <w:rPr>
          <w:b/>
          <w:bCs/>
          <w:color w:val="252525"/>
          <w:spacing w:val="-2"/>
          <w:sz w:val="48"/>
          <w:szCs w:val="48"/>
        </w:rPr>
        <w:t>4 Идентификация опасностей и рисков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4.1 В приложении 1 данного регламента определен перечень опасностей, представляющих угрозу жизни и здоровью работников, которые могут воздействовать на работников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4.2 Ответственный за систему управления охраной труда подразделения (производственного участка, отдела) формирует перечень основных опасностей, действующих на рабочих местах данного подразделения, условия их реализации и риски с адаптацией к существующим условиям деятельности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4.3 При идентификации опасностей необходимо учитывать все возможные места возникновения источника опасности, рассматривать все виды опасностей.</w:t>
      </w:r>
    </w:p>
    <w:p>
      <w:pPr>
        <w:spacing w:line="240" w:lineRule="auto"/>
        <w:rPr>
          <w:rFonts w:hAnsi="Times New Roman" w:cs="Times New Roman"/>
          <w:color w:val="000000"/>
          <w:sz w:val="24"/>
          <w:szCs w:val="24"/>
        </w:rPr>
      </w:pPr>
      <w:r>
        <w:rPr>
          <w:rFonts w:hAnsi="Times New Roman" w:cs="Times New Roman"/>
          <w:color w:val="000000"/>
          <w:sz w:val="24"/>
          <w:szCs w:val="24"/>
        </w:rPr>
        <w:t>4.4 При выявлении опасностей учитываются стандартная и нестандартная деятельность:</w:t>
      </w:r>
    </w:p>
    <w:p>
      <w:pPr>
        <w:spacing w:line="240" w:lineRule="auto"/>
        <w:rPr>
          <w:rFonts w:hAnsi="Times New Roman" w:cs="Times New Roman"/>
          <w:color w:val="000000"/>
          <w:sz w:val="24"/>
          <w:szCs w:val="24"/>
        </w:rPr>
      </w:pPr>
      <w:r>
        <w:rPr>
          <w:rFonts w:hAnsi="Times New Roman" w:cs="Times New Roman"/>
          <w:color w:val="000000"/>
          <w:sz w:val="24"/>
          <w:szCs w:val="24"/>
        </w:rPr>
        <w:t>− стандартная деятельность: деятельность, выполняемая регулярно, процесс осуществляется в штатном режиме;</w:t>
      </w:r>
    </w:p>
    <w:p>
      <w:pPr>
        <w:spacing w:line="240" w:lineRule="auto"/>
        <w:rPr>
          <w:rFonts w:hAnsi="Times New Roman" w:cs="Times New Roman"/>
          <w:color w:val="000000"/>
          <w:sz w:val="24"/>
          <w:szCs w:val="24"/>
        </w:rPr>
      </w:pPr>
      <w:r>
        <w:rPr>
          <w:rFonts w:hAnsi="Times New Roman" w:cs="Times New Roman"/>
          <w:color w:val="000000"/>
          <w:sz w:val="24"/>
          <w:szCs w:val="24"/>
        </w:rPr>
        <w:t>− нестандартная деятельность − деятельность, выполняемая нерегулярно, периодически или в чрезвычайных ситуациях: нештатный режим работы это отклонение от заданных параметров; аварийные ситуации (включая аварийные пуски/ остановки).</w:t>
      </w:r>
    </w:p>
    <w:p>
      <w:pPr>
        <w:spacing w:line="240" w:lineRule="auto"/>
        <w:rPr>
          <w:rFonts w:hAnsi="Times New Roman" w:cs="Times New Roman"/>
          <w:color w:val="000000"/>
          <w:sz w:val="24"/>
          <w:szCs w:val="24"/>
        </w:rPr>
      </w:pPr>
      <w:r>
        <w:rPr>
          <w:rFonts w:hAnsi="Times New Roman" w:cs="Times New Roman"/>
          <w:color w:val="000000"/>
          <w:sz w:val="24"/>
          <w:szCs w:val="24"/>
        </w:rPr>
        <w:t>4.5 При идентификации рисков необходимо определить сочетание трех элементов (опасность, событие, последствия) − сценарий реализации риска в целом и вероятность ущерба для человека или инфраструктуры. После определения сценариев рисков, дающих представление об источнике опасности, опасном событии и его последствиях, проводится определение уровня риска.</w:t>
      </w:r>
    </w:p>
    <w:p>
      <w:pPr>
        <w:spacing w:line="240" w:lineRule="auto"/>
        <w:rPr>
          <w:rFonts w:hAnsi="Times New Roman" w:cs="Times New Roman"/>
          <w:color w:val="000000"/>
          <w:sz w:val="24"/>
          <w:szCs w:val="24"/>
        </w:rPr>
      </w:pPr>
      <w:r>
        <w:rPr>
          <w:rFonts w:hAnsi="Times New Roman" w:cs="Times New Roman"/>
          <w:b/>
          <w:bCs/>
          <w:color w:val="000000"/>
          <w:sz w:val="24"/>
          <w:szCs w:val="24"/>
        </w:rPr>
        <w:t>5 Оценка рисков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5.1. Основные методы оценки риска приведены в ГОСТ Р ИСО/МЭК 31010, где определены критерии выбора и применения методик, их сильные и слабые стороны. Выбор метода оценки рисков зависит от ряда факторов, включая нормативные требования, требования процедур, объекта оценки рисков и других факторов. В </w:t>
      </w:r>
      <w:r>
        <w:rPr>
          <w:rFonts w:hAnsi="Times New Roman" w:cs="Times New Roman"/>
          <w:color w:val="000000"/>
          <w:sz w:val="24"/>
          <w:szCs w:val="24"/>
        </w:rPr>
        <w:t>___________</w:t>
      </w:r>
      <w:r>
        <w:rPr>
          <w:rFonts w:hAnsi="Times New Roman" w:cs="Times New Roman"/>
          <w:color w:val="000000"/>
          <w:sz w:val="24"/>
          <w:szCs w:val="24"/>
        </w:rPr>
        <w:t xml:space="preserve"> для оценки рисков ОТ и ПБ применяются следующие методики качественной оценки рисков:</w:t>
      </w:r>
    </w:p>
    <w:p>
      <w:pPr>
        <w:spacing w:line="240" w:lineRule="auto"/>
        <w:rPr>
          <w:rFonts w:hAnsi="Times New Roman" w:cs="Times New Roman"/>
          <w:color w:val="000000"/>
          <w:sz w:val="24"/>
          <w:szCs w:val="24"/>
        </w:rPr>
      </w:pPr>
      <w:r>
        <w:rPr>
          <w:rFonts w:hAnsi="Times New Roman" w:cs="Times New Roman"/>
          <w:color w:val="000000"/>
          <w:sz w:val="24"/>
          <w:szCs w:val="24"/>
        </w:rPr>
        <w:t>− оценка рисков структурными подразделениями предназначена для более полной идентификации опасностей и оценки риска на всех рабочих местах;</w:t>
      </w:r>
    </w:p>
    <w:p>
      <w:pPr>
        <w:spacing w:line="240" w:lineRule="auto"/>
        <w:rPr>
          <w:rFonts w:hAnsi="Times New Roman" w:cs="Times New Roman"/>
          <w:color w:val="000000"/>
          <w:sz w:val="24"/>
          <w:szCs w:val="24"/>
        </w:rPr>
      </w:pPr>
      <w:r>
        <w:rPr>
          <w:rFonts w:hAnsi="Times New Roman" w:cs="Times New Roman"/>
          <w:color w:val="000000"/>
          <w:sz w:val="24"/>
          <w:szCs w:val="24"/>
        </w:rPr>
        <w:t>− уточненная оценка рисков предназначена для более качественной оценки рисков при эксплуатации оборудования, зданий, сооружений оценки рисков, связанных с условиями на всех рабочих местах.</w:t>
      </w:r>
    </w:p>
    <w:p>
      <w:pPr>
        <w:spacing w:line="240" w:lineRule="auto"/>
        <w:rPr>
          <w:rFonts w:hAnsi="Times New Roman" w:cs="Times New Roman"/>
          <w:color w:val="000000"/>
          <w:sz w:val="24"/>
          <w:szCs w:val="24"/>
        </w:rPr>
      </w:pPr>
      <w:r>
        <w:rPr>
          <w:rFonts w:hAnsi="Times New Roman" w:cs="Times New Roman"/>
          <w:color w:val="000000"/>
          <w:sz w:val="24"/>
          <w:szCs w:val="24"/>
        </w:rPr>
        <w:t>5.1.2 Методология базовой оценки рисков основана на подходе с использованием перечня опасностей (опасных факторов) (приложение 1).</w:t>
      </w:r>
    </w:p>
    <w:p>
      <w:pPr>
        <w:spacing w:line="240" w:lineRule="auto"/>
        <w:rPr>
          <w:rFonts w:hAnsi="Times New Roman" w:cs="Times New Roman"/>
          <w:color w:val="000000"/>
          <w:sz w:val="24"/>
          <w:szCs w:val="24"/>
        </w:rPr>
      </w:pPr>
      <w:r>
        <w:rPr>
          <w:rFonts w:hAnsi="Times New Roman" w:cs="Times New Roman"/>
          <w:color w:val="000000"/>
          <w:sz w:val="24"/>
          <w:szCs w:val="24"/>
        </w:rPr>
        <w:t>5.1.3 Подход оценки рисков заключается в документированной оценке возможного воздействия источников опасности на работников. Оценка проводится на основании: требований нормативно-правовых актов; сбора и изучения информации по передовому опыту отечественных и зарубежных предприятий по эксплуатации аналогичных объектов; эксплуатации оборудования; анализа аварий, инцидентов, отказов и т.п., несчастных случаев и профзаболеваний на аналогичных объектах.</w:t>
      </w:r>
    </w:p>
    <w:p>
      <w:pPr>
        <w:spacing w:line="240" w:lineRule="auto"/>
        <w:rPr>
          <w:rFonts w:hAnsi="Times New Roman" w:cs="Times New Roman"/>
          <w:color w:val="000000"/>
          <w:sz w:val="24"/>
          <w:szCs w:val="24"/>
        </w:rPr>
      </w:pPr>
      <w:r>
        <w:rPr>
          <w:rFonts w:hAnsi="Times New Roman" w:cs="Times New Roman"/>
          <w:color w:val="000000"/>
          <w:sz w:val="24"/>
          <w:szCs w:val="24"/>
        </w:rPr>
        <w:t>5.1.4 На основе опроса работников руководители подразделений, совместно со специалистами и специалистом по охране труда, составляют реестры опасностей и оценки рисков. В реестре конкретизируются источники опасностей (вещество, оборудование, вид деятельности и пр.). Реестры необходимо формировать по рабочим местам, имеющим одинаковые условия труда и виды деятельности. Можно выделять в реестре подразделения те рабочие места, где уровень риска отличается от общей оценки.</w:t>
      </w:r>
    </w:p>
    <w:p>
      <w:pPr>
        <w:spacing w:line="240" w:lineRule="auto"/>
        <w:rPr>
          <w:rFonts w:hAnsi="Times New Roman" w:cs="Times New Roman"/>
          <w:color w:val="000000"/>
          <w:sz w:val="24"/>
          <w:szCs w:val="24"/>
        </w:rPr>
      </w:pPr>
      <w:r>
        <w:rPr>
          <w:rFonts w:hAnsi="Times New Roman" w:cs="Times New Roman"/>
          <w:color w:val="000000"/>
          <w:sz w:val="24"/>
          <w:szCs w:val="24"/>
        </w:rPr>
        <w:t>5.1.5 При идентификации рисков необходимо определить сочетание трех элементов (опасность, событие, последствия) – сценарий реализации риска в целом и вероятность ущерба для человека. После определения сценариев рисков, дающих представление об источнике опасности, опасном событии и его последствиях, проводится определение уровня риска.</w:t>
      </w:r>
    </w:p>
    <w:p>
      <w:pPr>
        <w:spacing w:line="240" w:lineRule="auto"/>
        <w:rPr>
          <w:rFonts w:hAnsi="Times New Roman" w:cs="Times New Roman"/>
          <w:color w:val="000000"/>
          <w:sz w:val="24"/>
          <w:szCs w:val="24"/>
        </w:rPr>
      </w:pPr>
      <w:r>
        <w:rPr>
          <w:rFonts w:hAnsi="Times New Roman" w:cs="Times New Roman"/>
          <w:color w:val="000000"/>
          <w:sz w:val="24"/>
          <w:szCs w:val="24"/>
        </w:rPr>
        <w:t>5.1.6 Оценка рисков выполняется комиссией и утверждается руководителем структурного подразделения. Для определения уровня риска используются показатели «Степень тяжести вреда» и «Вероятность (частота реализации вреда от воздействия источника опасности)». Оценка выполняется по «Матрице оценки рисков», согласно которой риски классифицируются по 5 уровням: низкий; допустимый; условно-допустимый; высокий; недопустимый уровень.</w:t>
      </w:r>
    </w:p>
    <w:p>
      <w:pPr>
        <w:spacing w:line="240" w:lineRule="auto"/>
        <w:rPr>
          <w:rFonts w:hAnsi="Times New Roman" w:cs="Times New Roman"/>
          <w:color w:val="000000"/>
          <w:sz w:val="24"/>
          <w:szCs w:val="24"/>
        </w:rPr>
      </w:pPr>
      <w:r>
        <w:rPr>
          <w:rFonts w:hAnsi="Times New Roman" w:cs="Times New Roman"/>
          <w:color w:val="000000"/>
          <w:sz w:val="24"/>
          <w:szCs w:val="24"/>
        </w:rPr>
        <w:t>5.1.7 Для определения тяжести последствий используются критерии шкалы тяжести последствий Матрицы оценки рисков. При определении уровня тяжести последствий необходимо руководствоваться собственным опытом, здравым смыслом и ориентироваться на максимально высокие значения из реалистичных последствий того или иного опасного события. Шкала тяжести последствий содержит градацию от 1 до 5 по возрастающей величины ущерба. Если один риск имеет последствия, затрагивающие несколько направлений реализации, то при определении совокупного уровня риска следует использовать последствия наибольшей степени тяжести.</w:t>
      </w:r>
    </w:p>
    <w:p>
      <w:pPr>
        <w:spacing w:line="240" w:lineRule="auto"/>
        <w:rPr>
          <w:rFonts w:hAnsi="Times New Roman" w:cs="Times New Roman"/>
          <w:color w:val="000000"/>
          <w:sz w:val="24"/>
          <w:szCs w:val="24"/>
        </w:rPr>
      </w:pPr>
      <w:r>
        <w:rPr>
          <w:rFonts w:hAnsi="Times New Roman" w:cs="Times New Roman"/>
          <w:color w:val="000000"/>
          <w:sz w:val="24"/>
          <w:szCs w:val="24"/>
        </w:rPr>
        <w:t>5.1.8 Устанавливается вероятность реализации риска путем выбора соответствующего значения вероятности на шкале вероятностей. Шкала вероятностей содержит градацию от 1 до 5, где 1 соответствует определению «очень низкая», а 5 – «очень высокая». При определении уровня вероятности необходимо руководствоваться собственным опытом, здравым смыслом, мнением экспертов и учитывать следующие факторы:</w:t>
      </w:r>
    </w:p>
    <w:p>
      <w:pPr>
        <w:spacing w:line="240" w:lineRule="auto"/>
        <w:rPr>
          <w:rFonts w:hAnsi="Times New Roman" w:cs="Times New Roman"/>
          <w:color w:val="000000"/>
          <w:sz w:val="24"/>
          <w:szCs w:val="24"/>
        </w:rPr>
      </w:pPr>
      <w:r>
        <w:rPr>
          <w:rFonts w:hAnsi="Times New Roman" w:cs="Times New Roman"/>
          <w:color w:val="000000"/>
          <w:sz w:val="24"/>
          <w:szCs w:val="24"/>
        </w:rPr>
        <w:t>− частота подверженности потенциальному воздействию опасного или вредного производственного фактора;</w:t>
      </w:r>
    </w:p>
    <w:p>
      <w:pPr>
        <w:spacing w:line="240" w:lineRule="auto"/>
        <w:rPr>
          <w:rFonts w:hAnsi="Times New Roman" w:cs="Times New Roman"/>
          <w:color w:val="000000"/>
          <w:sz w:val="24"/>
          <w:szCs w:val="24"/>
        </w:rPr>
      </w:pPr>
      <w:r>
        <w:rPr>
          <w:rFonts w:hAnsi="Times New Roman" w:cs="Times New Roman"/>
          <w:color w:val="000000"/>
          <w:sz w:val="24"/>
          <w:szCs w:val="24"/>
        </w:rPr>
        <w:t>− продолжительность воздействия вредного и/или опасного фактора;</w:t>
      </w:r>
    </w:p>
    <w:p>
      <w:pPr>
        <w:spacing w:line="240" w:lineRule="auto"/>
        <w:rPr>
          <w:rFonts w:hAnsi="Times New Roman" w:cs="Times New Roman"/>
          <w:color w:val="000000"/>
          <w:sz w:val="24"/>
          <w:szCs w:val="24"/>
        </w:rPr>
      </w:pPr>
      <w:r>
        <w:rPr>
          <w:rFonts w:hAnsi="Times New Roman" w:cs="Times New Roman"/>
          <w:color w:val="000000"/>
          <w:sz w:val="24"/>
          <w:szCs w:val="24"/>
        </w:rPr>
        <w:t>− количество людей, которые могут одновременно оказаться под воздействием опасного или вредного фактора;</w:t>
      </w:r>
    </w:p>
    <w:p>
      <w:pPr>
        <w:spacing w:line="240" w:lineRule="auto"/>
        <w:rPr>
          <w:rFonts w:hAnsi="Times New Roman" w:cs="Times New Roman"/>
          <w:color w:val="000000"/>
          <w:sz w:val="24"/>
          <w:szCs w:val="24"/>
        </w:rPr>
      </w:pPr>
      <w:r>
        <w:rPr>
          <w:rFonts w:hAnsi="Times New Roman" w:cs="Times New Roman"/>
          <w:color w:val="000000"/>
          <w:sz w:val="24"/>
          <w:szCs w:val="24"/>
        </w:rPr>
        <w:t>− имеющаяся информация об аналогичных происшествиях.</w:t>
      </w:r>
    </w:p>
    <w:p>
      <w:pPr>
        <w:spacing w:line="240" w:lineRule="auto"/>
        <w:rPr>
          <w:rFonts w:hAnsi="Times New Roman" w:cs="Times New Roman"/>
          <w:color w:val="000000"/>
          <w:sz w:val="24"/>
          <w:szCs w:val="24"/>
        </w:rPr>
      </w:pPr>
      <w:r>
        <w:rPr>
          <w:rFonts w:hAnsi="Times New Roman" w:cs="Times New Roman"/>
          <w:color w:val="000000"/>
          <w:sz w:val="24"/>
          <w:szCs w:val="24"/>
        </w:rPr>
        <w:t>5.1.9 Дополнительными критериями для базовой оценки рисков также являются критерии, используемые при проведении уточненной оценки рисков в соответствии с разделом 6.3.</w:t>
      </w:r>
    </w:p>
    <w:p>
      <w:pPr>
        <w:spacing w:line="240" w:lineRule="auto"/>
        <w:rPr>
          <w:rFonts w:hAnsi="Times New Roman" w:cs="Times New Roman"/>
          <w:color w:val="000000"/>
          <w:sz w:val="24"/>
          <w:szCs w:val="24"/>
        </w:rPr>
      </w:pPr>
      <w:r>
        <w:rPr>
          <w:rFonts w:hAnsi="Times New Roman" w:cs="Times New Roman"/>
          <w:color w:val="000000"/>
          <w:sz w:val="24"/>
          <w:szCs w:val="24"/>
        </w:rPr>
        <w:t>5.1.10 Определение уровня риска проведём на примере воздействия опасного фактора «Наличие открытых проемов (не ограждённые траншеи, ямы)». Выполнение работ на рабочей площадке, перемещение по территории, где имеется данный опасный фактор, может привести к падению и получению работником любой из перечисленных степеней тяжести вреда в зависимости от размеров проёма, высоты падения и других обстоятельств. Необходимо рассмотреть все условия реализации события. Для работников, постоянно находящихся на рабочей площадке, уровень риска может относиться, как к условно-допустимому, так и к высокому и недопустимому уровню.</w:t>
      </w:r>
    </w:p>
    <w:p>
      <w:pPr>
        <w:spacing w:line="240" w:lineRule="auto"/>
        <w:rPr>
          <w:rFonts w:hAnsi="Times New Roman" w:cs="Times New Roman"/>
          <w:color w:val="000000"/>
          <w:sz w:val="24"/>
          <w:szCs w:val="24"/>
        </w:rPr>
      </w:pPr>
      <w:r>
        <w:rPr>
          <w:rFonts w:hAnsi="Times New Roman" w:cs="Times New Roman"/>
          <w:color w:val="000000"/>
          <w:sz w:val="24"/>
          <w:szCs w:val="24"/>
        </w:rPr>
        <w:t>Для работников, периодически находящихся на данной площадке, уровень риска может быть условно-допустимым, допустимым или низким, в зависимости от выполняемых работ и места их нахождения на данной площадке.</w:t>
      </w:r>
    </w:p>
    <w:p>
      <w:pPr>
        <w:spacing w:line="240" w:lineRule="auto"/>
        <w:rPr>
          <w:rFonts w:hAnsi="Times New Roman" w:cs="Times New Roman"/>
          <w:color w:val="000000"/>
          <w:sz w:val="24"/>
          <w:szCs w:val="24"/>
        </w:rPr>
      </w:pPr>
      <w:r>
        <w:rPr>
          <w:rFonts w:hAnsi="Times New Roman" w:cs="Times New Roman"/>
          <w:color w:val="000000"/>
          <w:sz w:val="24"/>
          <w:szCs w:val="24"/>
        </w:rPr>
        <w:t>5.1.11 Регистрация проведённой оценки рисков проводится в реестре в виде отметок:</w:t>
      </w:r>
    </w:p>
    <w:p>
      <w:pPr>
        <w:spacing w:line="240" w:lineRule="auto"/>
        <w:rPr>
          <w:rFonts w:hAnsi="Times New Roman" w:cs="Times New Roman"/>
          <w:color w:val="000000"/>
          <w:sz w:val="24"/>
          <w:szCs w:val="24"/>
        </w:rPr>
      </w:pPr>
      <w:r>
        <w:rPr>
          <w:rFonts w:hAnsi="Times New Roman" w:cs="Times New Roman"/>
          <w:color w:val="000000"/>
          <w:sz w:val="24"/>
          <w:szCs w:val="24"/>
        </w:rPr>
        <w:t>− «НДУР» – недопустимый уровень риска;</w:t>
      </w:r>
    </w:p>
    <w:p>
      <w:pPr>
        <w:spacing w:line="240" w:lineRule="auto"/>
        <w:rPr>
          <w:rFonts w:hAnsi="Times New Roman" w:cs="Times New Roman"/>
          <w:color w:val="000000"/>
          <w:sz w:val="24"/>
          <w:szCs w:val="24"/>
        </w:rPr>
      </w:pPr>
      <w:r>
        <w:rPr>
          <w:rFonts w:hAnsi="Times New Roman" w:cs="Times New Roman"/>
          <w:color w:val="000000"/>
          <w:sz w:val="24"/>
          <w:szCs w:val="24"/>
        </w:rPr>
        <w:t>− «ВысУР» – высокий уровень риска;</w:t>
      </w:r>
    </w:p>
    <w:p>
      <w:pPr>
        <w:spacing w:line="240" w:lineRule="auto"/>
        <w:rPr>
          <w:rFonts w:hAnsi="Times New Roman" w:cs="Times New Roman"/>
          <w:color w:val="000000"/>
          <w:sz w:val="24"/>
          <w:szCs w:val="24"/>
        </w:rPr>
      </w:pPr>
      <w:r>
        <w:rPr>
          <w:rFonts w:hAnsi="Times New Roman" w:cs="Times New Roman"/>
          <w:color w:val="000000"/>
          <w:sz w:val="24"/>
          <w:szCs w:val="24"/>
        </w:rPr>
        <w:t>− «УДУР» – условно-допустимый уровень риска;</w:t>
      </w:r>
    </w:p>
    <w:p>
      <w:pPr>
        <w:spacing w:line="240" w:lineRule="auto"/>
        <w:rPr>
          <w:rFonts w:hAnsi="Times New Roman" w:cs="Times New Roman"/>
          <w:color w:val="000000"/>
          <w:sz w:val="24"/>
          <w:szCs w:val="24"/>
        </w:rPr>
      </w:pPr>
      <w:r>
        <w:rPr>
          <w:rFonts w:hAnsi="Times New Roman" w:cs="Times New Roman"/>
          <w:color w:val="000000"/>
          <w:sz w:val="24"/>
          <w:szCs w:val="24"/>
        </w:rPr>
        <w:t>− «ДопУР» – допустимый уровень риска;</w:t>
      </w:r>
    </w:p>
    <w:p>
      <w:pPr>
        <w:spacing w:line="240" w:lineRule="auto"/>
        <w:rPr>
          <w:rFonts w:hAnsi="Times New Roman" w:cs="Times New Roman"/>
          <w:color w:val="000000"/>
          <w:sz w:val="24"/>
          <w:szCs w:val="24"/>
        </w:rPr>
      </w:pPr>
      <w:r>
        <w:rPr>
          <w:rFonts w:hAnsi="Times New Roman" w:cs="Times New Roman"/>
          <w:color w:val="000000"/>
          <w:sz w:val="24"/>
          <w:szCs w:val="24"/>
        </w:rPr>
        <w:t>− «НизУР» – низкий уровень риска.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6 Анализ существующих мер управления рисками </w:t>
      </w:r>
    </w:p>
    <w:p>
      <w:pPr>
        <w:spacing w:line="240" w:lineRule="auto"/>
        <w:rPr>
          <w:rFonts w:hAnsi="Times New Roman" w:cs="Times New Roman"/>
          <w:color w:val="000000"/>
          <w:sz w:val="24"/>
          <w:szCs w:val="24"/>
        </w:rPr>
      </w:pPr>
      <w:r>
        <w:rPr>
          <w:rFonts w:hAnsi="Times New Roman" w:cs="Times New Roman"/>
          <w:color w:val="000000"/>
          <w:sz w:val="24"/>
          <w:szCs w:val="24"/>
        </w:rPr>
        <w:t>6.1 В соответствии с уровнями рисков определены рекомендации по их управлению и снижению:</w:t>
      </w:r>
    </w:p>
    <w:p>
      <w:pPr>
        <w:spacing w:line="240" w:lineRule="auto"/>
        <w:rPr>
          <w:rFonts w:hAnsi="Times New Roman" w:cs="Times New Roman"/>
          <w:color w:val="000000"/>
          <w:sz w:val="24"/>
          <w:szCs w:val="24"/>
        </w:rPr>
      </w:pPr>
      <w:r>
        <w:rPr>
          <w:rFonts w:hAnsi="Times New Roman" w:cs="Times New Roman"/>
          <w:color w:val="000000"/>
          <w:sz w:val="24"/>
          <w:szCs w:val="24"/>
        </w:rPr>
        <w:t>− низкий уровень – меры управления определены в различных процедурах, необходимости принятия дальнейших мер не требуется. Необходимо информирование работников о возможных рисках и обеспечение мер управления, достаточных для подержания существующего уровня риска;</w:t>
      </w:r>
    </w:p>
    <w:p>
      <w:pPr>
        <w:spacing w:line="240" w:lineRule="auto"/>
        <w:rPr>
          <w:rFonts w:hAnsi="Times New Roman" w:cs="Times New Roman"/>
          <w:color w:val="000000"/>
          <w:sz w:val="24"/>
          <w:szCs w:val="24"/>
        </w:rPr>
      </w:pPr>
      <w:r>
        <w:rPr>
          <w:rFonts w:hAnsi="Times New Roman" w:cs="Times New Roman"/>
          <w:color w:val="000000"/>
          <w:sz w:val="24"/>
          <w:szCs w:val="24"/>
        </w:rPr>
        <w:t>− допустимый уровень – меры управления документируются в различных процедурах, дополнительные меры не требуются, но необходимо рассмотреть возможность дальнейшего снижения уровня рисков. Необходимо проведение инструктажей, информирование работников о возможных рисках и осуществление мониторинга для обеспечения мер управления, достаточных для подержания существующего уровня риска;</w:t>
      </w:r>
    </w:p>
    <w:p>
      <w:pPr>
        <w:spacing w:line="240" w:lineRule="auto"/>
        <w:rPr>
          <w:rFonts w:hAnsi="Times New Roman" w:cs="Times New Roman"/>
          <w:color w:val="000000"/>
          <w:sz w:val="24"/>
          <w:szCs w:val="24"/>
        </w:rPr>
      </w:pPr>
      <w:r>
        <w:rPr>
          <w:rFonts w:hAnsi="Times New Roman" w:cs="Times New Roman"/>
          <w:color w:val="000000"/>
          <w:sz w:val="24"/>
          <w:szCs w:val="24"/>
        </w:rPr>
        <w:t>− условно-допустимый уровень – выполнение работ можно продолжать, но должны быть приняты дополнительные меры для снижения риска, как минимум, до допустимого уровня. Дополнительные меры управления должны быть реализованы. Необходимо контролировать выполнение работ и проводить мониторинг, с целью дальнейшего снижения уровня рисков при выполнении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 высокий уровень – запрещается приступать к работам до тех пор, пока уровень риска не будет снижен до более низкого уровня. Дополнительные меры по управлению рисками должны быть приняты немедленно, а мероприятия выполнены в установленные сроки;</w:t>
      </w:r>
    </w:p>
    <w:p>
      <w:pPr>
        <w:spacing w:line="240" w:lineRule="auto"/>
        <w:rPr>
          <w:rFonts w:hAnsi="Times New Roman" w:cs="Times New Roman"/>
          <w:color w:val="000000"/>
          <w:sz w:val="24"/>
          <w:szCs w:val="24"/>
        </w:rPr>
      </w:pPr>
      <w:r>
        <w:rPr>
          <w:rFonts w:hAnsi="Times New Roman" w:cs="Times New Roman"/>
          <w:color w:val="000000"/>
          <w:sz w:val="24"/>
          <w:szCs w:val="24"/>
        </w:rPr>
        <w:t>− недопустимый уровень – запрещается приступать или продолжать работы до тех пор, пока не будут выполнены мероприятия по снижению уровня риска до условно-допустимого, если это невозможно работы должны быть остановлены. Решение о приостановке деятельности оформляется организационно-распорядительным актом (приказ, распоряжение).</w:t>
      </w:r>
    </w:p>
    <w:p>
      <w:pPr>
        <w:spacing w:line="240" w:lineRule="auto"/>
        <w:rPr>
          <w:rFonts w:hAnsi="Times New Roman" w:cs="Times New Roman"/>
          <w:color w:val="000000"/>
          <w:sz w:val="24"/>
          <w:szCs w:val="24"/>
        </w:rPr>
      </w:pPr>
      <w:r>
        <w:rPr>
          <w:rFonts w:hAnsi="Times New Roman" w:cs="Times New Roman"/>
          <w:color w:val="000000"/>
          <w:sz w:val="24"/>
          <w:szCs w:val="24"/>
        </w:rPr>
        <w:t>6.2 На начальном этапе проводится анализ существующих мер по управлению рисками и определяются дополнительные меры по управлению рисками, которые могут потребоваться для приведения уровня рисков к приемлемому уровню.</w:t>
      </w:r>
    </w:p>
    <w:p>
      <w:pPr>
        <w:spacing w:line="240" w:lineRule="auto"/>
        <w:rPr>
          <w:rFonts w:hAnsi="Times New Roman" w:cs="Times New Roman"/>
          <w:color w:val="000000"/>
          <w:sz w:val="24"/>
          <w:szCs w:val="24"/>
        </w:rPr>
      </w:pPr>
      <w:r>
        <w:rPr>
          <w:rFonts w:hAnsi="Times New Roman" w:cs="Times New Roman"/>
          <w:color w:val="000000"/>
          <w:sz w:val="24"/>
          <w:szCs w:val="24"/>
        </w:rPr>
        <w:t>6.3 Меры по управлению рисками включают меры, направленные на устранение или уменьшение опасности, предотвращение опасного события, а в случае возникновения события − на прекращение эскалации события и появления нежелательных воздействий, а также меры по восстановлению, если в результате развития события возникают нежелательные последствия. Комиссия проводит оценку существующих мер по управлению рисками и определяет возможные дополнительные меры, связанные с различными элементами оцениваемых процессов и объектов, включая следующее:</w:t>
      </w:r>
    </w:p>
    <w:p>
      <w:pPr>
        <w:spacing w:line="240" w:lineRule="auto"/>
        <w:rPr>
          <w:rFonts w:hAnsi="Times New Roman" w:cs="Times New Roman"/>
          <w:color w:val="000000"/>
          <w:sz w:val="24"/>
          <w:szCs w:val="24"/>
        </w:rPr>
      </w:pPr>
      <w:r>
        <w:rPr>
          <w:rFonts w:hAnsi="Times New Roman" w:cs="Times New Roman"/>
          <w:color w:val="000000"/>
          <w:sz w:val="24"/>
          <w:szCs w:val="24"/>
        </w:rPr>
        <w:t>− конструктивная целостность;</w:t>
      </w:r>
    </w:p>
    <w:p>
      <w:pPr>
        <w:spacing w:line="240" w:lineRule="auto"/>
        <w:rPr>
          <w:rFonts w:hAnsi="Times New Roman" w:cs="Times New Roman"/>
          <w:color w:val="000000"/>
          <w:sz w:val="24"/>
          <w:szCs w:val="24"/>
        </w:rPr>
      </w:pPr>
      <w:r>
        <w:rPr>
          <w:rFonts w:hAnsi="Times New Roman" w:cs="Times New Roman"/>
          <w:color w:val="000000"/>
          <w:sz w:val="24"/>
          <w:szCs w:val="24"/>
        </w:rPr>
        <w:t>− системы защиты;</w:t>
      </w:r>
    </w:p>
    <w:p>
      <w:pPr>
        <w:spacing w:line="240" w:lineRule="auto"/>
        <w:rPr>
          <w:rFonts w:hAnsi="Times New Roman" w:cs="Times New Roman"/>
          <w:color w:val="000000"/>
          <w:sz w:val="24"/>
          <w:szCs w:val="24"/>
        </w:rPr>
      </w:pPr>
      <w:r>
        <w:rPr>
          <w:rFonts w:hAnsi="Times New Roman" w:cs="Times New Roman"/>
          <w:color w:val="000000"/>
          <w:sz w:val="24"/>
          <w:szCs w:val="24"/>
        </w:rPr>
        <w:t>− технологические режимы;</w:t>
      </w:r>
    </w:p>
    <w:p>
      <w:pPr>
        <w:spacing w:line="240" w:lineRule="auto"/>
        <w:rPr>
          <w:rFonts w:hAnsi="Times New Roman" w:cs="Times New Roman"/>
          <w:color w:val="000000"/>
          <w:sz w:val="24"/>
          <w:szCs w:val="24"/>
        </w:rPr>
      </w:pPr>
      <w:r>
        <w:rPr>
          <w:rFonts w:hAnsi="Times New Roman" w:cs="Times New Roman"/>
          <w:color w:val="000000"/>
          <w:sz w:val="24"/>
          <w:szCs w:val="24"/>
        </w:rPr>
        <w:t>− методы технического обслуживания;</w:t>
      </w:r>
    </w:p>
    <w:p>
      <w:pPr>
        <w:spacing w:line="240" w:lineRule="auto"/>
        <w:rPr>
          <w:rFonts w:hAnsi="Times New Roman" w:cs="Times New Roman"/>
          <w:color w:val="000000"/>
          <w:sz w:val="24"/>
          <w:szCs w:val="24"/>
        </w:rPr>
      </w:pPr>
      <w:r>
        <w:rPr>
          <w:rFonts w:hAnsi="Times New Roman" w:cs="Times New Roman"/>
          <w:color w:val="000000"/>
          <w:sz w:val="24"/>
          <w:szCs w:val="24"/>
        </w:rPr>
        <w:t>− технологические процессы;</w:t>
      </w:r>
    </w:p>
    <w:p>
      <w:pPr>
        <w:spacing w:line="240" w:lineRule="auto"/>
        <w:rPr>
          <w:rFonts w:hAnsi="Times New Roman" w:cs="Times New Roman"/>
          <w:color w:val="000000"/>
          <w:sz w:val="24"/>
          <w:szCs w:val="24"/>
        </w:rPr>
      </w:pPr>
      <w:r>
        <w:rPr>
          <w:rFonts w:hAnsi="Times New Roman" w:cs="Times New Roman"/>
          <w:color w:val="000000"/>
          <w:sz w:val="24"/>
          <w:szCs w:val="24"/>
        </w:rPr>
        <w:t>− человеческий фактор.</w:t>
      </w:r>
    </w:p>
    <w:p>
      <w:pPr>
        <w:spacing w:line="240" w:lineRule="auto"/>
        <w:rPr>
          <w:rFonts w:hAnsi="Times New Roman" w:cs="Times New Roman"/>
          <w:color w:val="000000"/>
          <w:sz w:val="24"/>
          <w:szCs w:val="24"/>
        </w:rPr>
      </w:pPr>
      <w:r>
        <w:rPr>
          <w:rFonts w:hAnsi="Times New Roman" w:cs="Times New Roman"/>
          <w:color w:val="000000"/>
          <w:sz w:val="24"/>
          <w:szCs w:val="24"/>
        </w:rPr>
        <w:t>6.4 При разработке дополнительных мер управления рисками необходимо рассматривать все возможные методы реагирования на риск:</w:t>
      </w:r>
    </w:p>
    <w:p>
      <w:pPr>
        <w:spacing w:line="240" w:lineRule="auto"/>
        <w:rPr>
          <w:rFonts w:hAnsi="Times New Roman" w:cs="Times New Roman"/>
          <w:color w:val="000000"/>
          <w:sz w:val="24"/>
          <w:szCs w:val="24"/>
        </w:rPr>
      </w:pPr>
      <w:r>
        <w:rPr>
          <w:rFonts w:hAnsi="Times New Roman" w:cs="Times New Roman"/>
          <w:color w:val="000000"/>
          <w:sz w:val="24"/>
          <w:szCs w:val="24"/>
        </w:rPr>
        <w:t>− Уклонение от риска. Прекращение деятельности, ведущей к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Передача риска. Передача деятельности, ведущей к опасности, подрядной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 Принятие риска.</w:t>
      </w:r>
    </w:p>
    <w:p>
      <w:pPr>
        <w:spacing w:line="240" w:lineRule="auto"/>
        <w:rPr>
          <w:rFonts w:hAnsi="Times New Roman" w:cs="Times New Roman"/>
          <w:color w:val="000000"/>
          <w:sz w:val="24"/>
          <w:szCs w:val="24"/>
        </w:rPr>
      </w:pPr>
      <w:r>
        <w:rPr>
          <w:rFonts w:hAnsi="Times New Roman" w:cs="Times New Roman"/>
          <w:color w:val="000000"/>
          <w:sz w:val="24"/>
          <w:szCs w:val="24"/>
        </w:rPr>
        <w:t>− Снижение уровня риска. Разработка мер по снижению рисков.</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7 Процесс оценки рисков </w:t>
      </w:r>
    </w:p>
    <w:p>
      <w:pPr>
        <w:spacing w:line="240" w:lineRule="auto"/>
        <w:rPr>
          <w:rFonts w:hAnsi="Times New Roman" w:cs="Times New Roman"/>
          <w:color w:val="000000"/>
          <w:sz w:val="24"/>
          <w:szCs w:val="24"/>
        </w:rPr>
      </w:pPr>
      <w:r>
        <w:rPr>
          <w:rFonts w:hAnsi="Times New Roman" w:cs="Times New Roman"/>
          <w:color w:val="000000"/>
          <w:sz w:val="24"/>
          <w:szCs w:val="24"/>
        </w:rPr>
        <w:t>7.1. Формируется состав комиссии по оценке рисков не менее 10 человек, в состав которой входят Руководитель производственного структурного подразделения (Председатель), зам. начальника структурного подразделения (Куратор), Эксперт, Секретарь комиссии, специалисты по эксплуатации оборудования и представители по ТОиР, Группа по идентификации источников опасности (Рабочая группа). Рабочая группа состоит из:</w:t>
      </w:r>
    </w:p>
    <w:p>
      <w:pPr>
        <w:spacing w:line="240" w:lineRule="auto"/>
        <w:rPr>
          <w:rFonts w:hAnsi="Times New Roman" w:cs="Times New Roman"/>
          <w:color w:val="000000"/>
          <w:sz w:val="24"/>
          <w:szCs w:val="24"/>
        </w:rPr>
      </w:pPr>
      <w:r>
        <w:rPr>
          <w:rFonts w:hAnsi="Times New Roman" w:cs="Times New Roman"/>
          <w:color w:val="000000"/>
          <w:sz w:val="24"/>
          <w:szCs w:val="24"/>
        </w:rPr>
        <w:t>- специалиста по ОТ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- 2 специалиста из других подразделений </w:t>
      </w:r>
      <w:r>
        <w:rPr>
          <w:rFonts w:hAnsi="Times New Roman" w:cs="Times New Roman"/>
          <w:color w:val="000000"/>
          <w:sz w:val="24"/>
          <w:szCs w:val="24"/>
        </w:rPr>
        <w:t>___________</w:t>
      </w:r>
      <w:r>
        <w:rPr>
          <w:rFonts w:hAnsi="Times New Roman" w:cs="Times New Roman"/>
          <w:color w:val="000000"/>
          <w:sz w:val="24"/>
          <w:szCs w:val="24"/>
        </w:rPr>
        <w:t>(«свежий взгляд»).</w:t>
      </w:r>
    </w:p>
    <w:p>
      <w:pPr>
        <w:spacing w:line="240" w:lineRule="auto"/>
        <w:rPr>
          <w:rFonts w:hAnsi="Times New Roman" w:cs="Times New Roman"/>
          <w:color w:val="000000"/>
          <w:sz w:val="24"/>
          <w:szCs w:val="24"/>
        </w:rPr>
      </w:pPr>
      <w:r>
        <w:rPr>
          <w:rFonts w:hAnsi="Times New Roman" w:cs="Times New Roman"/>
          <w:color w:val="000000"/>
          <w:sz w:val="24"/>
          <w:szCs w:val="24"/>
        </w:rPr>
        <w:t>7.2. Руководитель подразделения определяет Объект оценки. Эксперт с Куратором планируют границы оценки рисков и продолжительность проведения работ по оценке рисков.</w:t>
      </w:r>
    </w:p>
    <w:p>
      <w:pPr>
        <w:spacing w:line="240" w:lineRule="auto"/>
        <w:rPr>
          <w:rFonts w:hAnsi="Times New Roman" w:cs="Times New Roman"/>
          <w:color w:val="000000"/>
          <w:sz w:val="24"/>
          <w:szCs w:val="24"/>
        </w:rPr>
      </w:pPr>
      <w:r>
        <w:rPr>
          <w:rFonts w:hAnsi="Times New Roman" w:cs="Times New Roman"/>
          <w:color w:val="000000"/>
          <w:sz w:val="24"/>
          <w:szCs w:val="24"/>
        </w:rPr>
        <w:t>7.3. Эксперт совместно с Куратором и Рабочей группой изучают исходную информацию: техническую документацию, эксплуатационную документацию, статистические данные о произошедших в структурном подразделении несчастных случаях и т.д.</w:t>
      </w:r>
    </w:p>
    <w:p>
      <w:pPr>
        <w:spacing w:line="240" w:lineRule="auto"/>
        <w:rPr>
          <w:rFonts w:hAnsi="Times New Roman" w:cs="Times New Roman"/>
          <w:color w:val="000000"/>
          <w:sz w:val="24"/>
          <w:szCs w:val="24"/>
        </w:rPr>
      </w:pPr>
      <w:r>
        <w:rPr>
          <w:rFonts w:hAnsi="Times New Roman" w:cs="Times New Roman"/>
          <w:color w:val="000000"/>
          <w:sz w:val="24"/>
          <w:szCs w:val="24"/>
        </w:rPr>
        <w:t>Рабочая группа выходит на Объект оценки и проводит идентификацию источников опасности (фотографирует, беседует с работниками и специалистами), при необходимости консультируется с Экспертом. По результатам обследования Рабочей группой в Реестр проблемных вопросов и карту оценки рисков вносятся все выявленные источники опасности, возможные негативные события и имеющиеся меры защиты.</w:t>
      </w:r>
    </w:p>
    <w:p>
      <w:pPr>
        <w:spacing w:line="240" w:lineRule="auto"/>
        <w:rPr>
          <w:rFonts w:hAnsi="Times New Roman" w:cs="Times New Roman"/>
          <w:color w:val="000000"/>
          <w:sz w:val="24"/>
          <w:szCs w:val="24"/>
        </w:rPr>
      </w:pPr>
      <w:r>
        <w:rPr>
          <w:rFonts w:hAnsi="Times New Roman" w:cs="Times New Roman"/>
          <w:color w:val="000000"/>
          <w:sz w:val="24"/>
          <w:szCs w:val="24"/>
        </w:rPr>
        <w:t>Куратор организует совещание комиссии по оценке рисков, где рассматриваются выявленные источники опасности и возможные негативные события, обсуждается и согласовывается текущий риск, Секретарь комиссии оформляет итоговую структуру оценки рисков, которую подписывают члены комиссии и утверждает Руководитель структурного подразделения. После утверждения структуры оценки рисков, комиссия по оценке рисков начинает обсуждение и разработку мероприятий по снижению риска каждого источника опасности или в комплексе, с определением остаточного риска. Секретарь комиссии формирует Карты оценки рисков на каждую опасную выполняемую операцию. Карту оценки рисков подписывает Руководитель структурного подразделения. Комиссия составляет и подписывает отчет о проделанной работе. Передаёт документы руководителю подразделения для дальнейшей работы по снижению рисков.</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проведенной оценки рисков используются специалистами производственного структурного подразделения для обоснования и формирования мероприятий по снижению уровня рисков производственных процессов с дальнейшим внедрением данной оценки в своем структурном подразделении.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8 </w:t>
      </w:r>
      <w:r>
        <w:rPr>
          <w:rFonts w:hAnsi="Times New Roman" w:cs="Times New Roman"/>
          <w:b/>
          <w:bCs/>
          <w:color w:val="000000"/>
          <w:sz w:val="24"/>
          <w:szCs w:val="24"/>
        </w:rPr>
        <w:t>Ответственность</w:t>
      </w:r>
    </w:p>
    <w:p>
      <w:pPr>
        <w:spacing w:line="240" w:lineRule="auto"/>
        <w:rPr>
          <w:rFonts w:hAnsi="Times New Roman" w:cs="Times New Roman"/>
          <w:color w:val="000000"/>
          <w:sz w:val="24"/>
          <w:szCs w:val="24"/>
        </w:rPr>
      </w:pPr>
      <w:r>
        <w:rPr>
          <w:rFonts w:hAnsi="Times New Roman" w:cs="Times New Roman"/>
          <w:color w:val="000000"/>
          <w:sz w:val="24"/>
          <w:szCs w:val="24"/>
        </w:rPr>
        <w:t xml:space="preserve">8.1 Директор </w:t>
      </w:r>
      <w:r>
        <w:rPr>
          <w:rFonts w:hAnsi="Times New Roman" w:cs="Times New Roman"/>
          <w:color w:val="000000"/>
          <w:sz w:val="24"/>
          <w:szCs w:val="24"/>
        </w:rPr>
        <w:t>___________</w:t>
      </w:r>
      <w:r>
        <w:rPr>
          <w:rFonts w:hAnsi="Times New Roman" w:cs="Times New Roman"/>
          <w:color w:val="000000"/>
          <w:sz w:val="24"/>
          <w:szCs w:val="24"/>
        </w:rPr>
        <w:t xml:space="preserve"> несет ответственность за организацию и контроль разработки, согласования, утверждения программ и мероприятий в области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8.2 Главный инженер несет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8.2.1 Организацию внедрения и контроля выполнения требований данного регламента.</w:t>
      </w:r>
    </w:p>
    <w:p>
      <w:pPr>
        <w:spacing w:line="240" w:lineRule="auto"/>
        <w:rPr>
          <w:rFonts w:hAnsi="Times New Roman" w:cs="Times New Roman"/>
          <w:color w:val="000000"/>
          <w:sz w:val="24"/>
          <w:szCs w:val="24"/>
        </w:rPr>
      </w:pPr>
      <w:r>
        <w:rPr>
          <w:rFonts w:hAnsi="Times New Roman" w:cs="Times New Roman"/>
          <w:color w:val="000000"/>
          <w:sz w:val="24"/>
          <w:szCs w:val="24"/>
        </w:rPr>
        <w:t>8.2.2 Организацию необходимой методической поддержки при проведении оценки риска.</w:t>
      </w:r>
    </w:p>
    <w:p>
      <w:pPr>
        <w:spacing w:line="240" w:lineRule="auto"/>
        <w:rPr>
          <w:rFonts w:hAnsi="Times New Roman" w:cs="Times New Roman"/>
          <w:color w:val="000000"/>
          <w:sz w:val="24"/>
          <w:szCs w:val="24"/>
        </w:rPr>
      </w:pPr>
      <w:r>
        <w:rPr>
          <w:rFonts w:hAnsi="Times New Roman" w:cs="Times New Roman"/>
          <w:color w:val="000000"/>
          <w:sz w:val="24"/>
          <w:szCs w:val="24"/>
        </w:rPr>
        <w:t>8.2.3 Организацию контроля процесса оценки рисков и применения результатов при планировании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8.2.4 Организацию контроля процесса разработки, внедрения и выполнения планов, мероприятий по улучшению условий труда, устранению причин аварий, производственного травматизма,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8.3 Руководитель службы охраны труда несет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8.3.1 Согласование мероприятий, предоставленных структурными подразделениями (подразделениями).</w:t>
      </w:r>
    </w:p>
    <w:p>
      <w:pPr>
        <w:spacing w:line="240" w:lineRule="auto"/>
        <w:rPr>
          <w:rFonts w:hAnsi="Times New Roman" w:cs="Times New Roman"/>
          <w:color w:val="000000"/>
          <w:sz w:val="24"/>
          <w:szCs w:val="24"/>
        </w:rPr>
      </w:pPr>
      <w:r>
        <w:rPr>
          <w:rFonts w:hAnsi="Times New Roman" w:cs="Times New Roman"/>
          <w:color w:val="000000"/>
          <w:sz w:val="24"/>
          <w:szCs w:val="24"/>
        </w:rPr>
        <w:t>8.3.2 Организацию контроля исполнения программ, планов и мероприятий, степени достижения целей при проведении внутренних проверок.</w:t>
      </w:r>
    </w:p>
    <w:p>
      <w:pPr>
        <w:spacing w:line="240" w:lineRule="auto"/>
        <w:rPr>
          <w:rFonts w:hAnsi="Times New Roman" w:cs="Times New Roman"/>
          <w:color w:val="000000"/>
          <w:sz w:val="24"/>
          <w:szCs w:val="24"/>
        </w:rPr>
      </w:pPr>
      <w:r>
        <w:rPr>
          <w:rFonts w:hAnsi="Times New Roman" w:cs="Times New Roman"/>
          <w:color w:val="000000"/>
          <w:sz w:val="24"/>
          <w:szCs w:val="24"/>
        </w:rPr>
        <w:t>8.6 Руководитель структурного подразделения несет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8.6.1 Организацию процесса идентификации опасностей и оценки рисков в структурном подразделении (подразделении).</w:t>
      </w:r>
    </w:p>
    <w:p>
      <w:pPr>
        <w:spacing w:line="240" w:lineRule="auto"/>
        <w:rPr>
          <w:rFonts w:hAnsi="Times New Roman" w:cs="Times New Roman"/>
          <w:color w:val="000000"/>
          <w:sz w:val="24"/>
          <w:szCs w:val="24"/>
        </w:rPr>
      </w:pPr>
      <w:r>
        <w:rPr>
          <w:rFonts w:hAnsi="Times New Roman" w:cs="Times New Roman"/>
          <w:color w:val="000000"/>
          <w:sz w:val="24"/>
          <w:szCs w:val="24"/>
        </w:rPr>
        <w:t>8.6.2 Контроль формирования перечня Объектов оценки рисков в производственном структурном подразделении.</w:t>
      </w:r>
    </w:p>
    <w:p>
      <w:pPr>
        <w:spacing w:line="240" w:lineRule="auto"/>
        <w:rPr>
          <w:rFonts w:hAnsi="Times New Roman" w:cs="Times New Roman"/>
          <w:color w:val="000000"/>
          <w:sz w:val="24"/>
          <w:szCs w:val="24"/>
        </w:rPr>
      </w:pPr>
      <w:r>
        <w:rPr>
          <w:rFonts w:hAnsi="Times New Roman" w:cs="Times New Roman"/>
          <w:color w:val="000000"/>
          <w:sz w:val="24"/>
          <w:szCs w:val="24"/>
        </w:rPr>
        <w:t>8.6.3 Рассмотрение результатов оценки, согласование и утверждение рекомендованных мер 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8.6.4 Определение ресурсов (материальные, финансовые, трудовые) для реализации дополнительных мер управления по снижению уровня рисков.</w:t>
      </w:r>
    </w:p>
    <w:p>
      <w:pPr>
        <w:spacing w:line="240" w:lineRule="auto"/>
        <w:rPr>
          <w:rFonts w:hAnsi="Times New Roman" w:cs="Times New Roman"/>
          <w:color w:val="000000"/>
          <w:sz w:val="24"/>
          <w:szCs w:val="24"/>
        </w:rPr>
      </w:pPr>
      <w:r>
        <w:rPr>
          <w:rFonts w:hAnsi="Times New Roman" w:cs="Times New Roman"/>
          <w:color w:val="000000"/>
          <w:sz w:val="24"/>
          <w:szCs w:val="24"/>
        </w:rPr>
        <w:t>8.6.5 Разработку мероприятий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8.6.6 Контроль результативности выполненных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8.6.7 Своевременное предоставление отчета о выполнении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8.7 Ответственный за СУОТ структурного подразделения несет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8.7.1 Координацию процесса идентификации опасных факторов и определение уровня рисков структурного подразделения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8.7.2 Формирование перечня Объектов оценки рисков в производственном структурном подразделении.</w:t>
      </w:r>
    </w:p>
    <w:p>
      <w:pPr>
        <w:spacing w:line="240" w:lineRule="auto"/>
        <w:rPr>
          <w:rFonts w:hAnsi="Times New Roman" w:cs="Times New Roman"/>
          <w:color w:val="000000"/>
          <w:sz w:val="24"/>
          <w:szCs w:val="24"/>
        </w:rPr>
      </w:pPr>
      <w:r>
        <w:rPr>
          <w:rFonts w:hAnsi="Times New Roman" w:cs="Times New Roman"/>
          <w:color w:val="000000"/>
          <w:sz w:val="24"/>
          <w:szCs w:val="24"/>
        </w:rPr>
        <w:t>8.7.4 Разработку дополнительных мер по снижению рисков для включения их в мероприятия по производственному структурному подразделению.</w:t>
      </w:r>
    </w:p>
    <w:p>
      <w:pPr>
        <w:spacing w:line="240" w:lineRule="auto"/>
        <w:rPr>
          <w:rFonts w:hAnsi="Times New Roman" w:cs="Times New Roman"/>
          <w:color w:val="000000"/>
          <w:sz w:val="24"/>
          <w:szCs w:val="24"/>
        </w:rPr>
      </w:pPr>
      <w:r>
        <w:rPr>
          <w:rFonts w:hAnsi="Times New Roman" w:cs="Times New Roman"/>
          <w:color w:val="000000"/>
          <w:sz w:val="24"/>
          <w:szCs w:val="24"/>
        </w:rPr>
        <w:t>8.7.5 Организацию разработки и при необходимости корректировку мероприятий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8.7.6 Контроль выполнения мероприятий по их реализации с предоставлением информации руководителю производственного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8.7.7 Анализ результативности принятых дополнительных мер управления и проведение переоценки рисков.</w:t>
      </w:r>
    </w:p>
    <w:p>
      <w:pPr>
        <w:spacing w:line="240" w:lineRule="auto"/>
        <w:rPr>
          <w:rFonts w:hAnsi="Times New Roman" w:cs="Times New Roman"/>
          <w:color w:val="000000"/>
          <w:sz w:val="24"/>
          <w:szCs w:val="24"/>
        </w:rPr>
      </w:pPr>
      <w:r>
        <w:rPr>
          <w:rFonts w:hAnsi="Times New Roman" w:cs="Times New Roman"/>
          <w:color w:val="000000"/>
          <w:sz w:val="24"/>
          <w:szCs w:val="24"/>
        </w:rPr>
        <w:t>8.7.8 Информирование о результатах оценки рисков и дополнительных мерах управления службы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8.7.9 Хранение мероприятий структурного подразделения, а также документов, подтверждающих выполнение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8.8 Руководитель подразделения (участка, службы, отдела) несет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8.8.1 Проведение оценки рисков в структурном подразделении.</w:t>
      </w:r>
    </w:p>
    <w:p>
      <w:pPr>
        <w:spacing w:line="240" w:lineRule="auto"/>
        <w:rPr>
          <w:rFonts w:hAnsi="Times New Roman" w:cs="Times New Roman"/>
          <w:color w:val="000000"/>
          <w:sz w:val="24"/>
          <w:szCs w:val="24"/>
        </w:rPr>
      </w:pPr>
      <w:r>
        <w:rPr>
          <w:rFonts w:hAnsi="Times New Roman" w:cs="Times New Roman"/>
          <w:color w:val="000000"/>
          <w:sz w:val="24"/>
          <w:szCs w:val="24"/>
        </w:rPr>
        <w:t>8.8.2 Разработку дополнительных мер 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8.8.3 Проведение переоценки рисков и предоставление информацию ответственному за СУОТ.</w:t>
      </w:r>
    </w:p>
    <w:p>
      <w:pPr>
        <w:spacing w:line="240" w:lineRule="auto"/>
        <w:rPr>
          <w:rFonts w:hAnsi="Times New Roman" w:cs="Times New Roman"/>
          <w:color w:val="000000"/>
          <w:sz w:val="24"/>
          <w:szCs w:val="24"/>
        </w:rPr>
      </w:pPr>
      <w:r>
        <w:rPr>
          <w:rFonts w:hAnsi="Times New Roman" w:cs="Times New Roman"/>
          <w:color w:val="000000"/>
          <w:sz w:val="24"/>
          <w:szCs w:val="24"/>
        </w:rPr>
        <w:t>8.8.4 Информирование работников подразделения и заинтересованных лиц о результатах проведённой оценки рисков и мерах 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8.9 Работники структурных подразделений (подразделений) за неисполнение требований настоящего регламента несут дисциплинарную ответственность.</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Приложение 1. Перечень опасностей, представляющих угрозу жизни и здоровью работников </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Механические опасности: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падения из-за потери равновесия, в том числе при спотыкании или подскальзывании, при передвижении по скользким поверхностям или мокрым полам;</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падения с высоты, в том числе из-за отсутствия ограждения, из-за обрыва троса, в котлован, в шахту при подъеме или спуске при нештатной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падения из-за внезапного появления на пути следования большого перепада высот;</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удара;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быть уколотым или проткнутым в результате воздействия движущихся колющих частей механизмов, машин;</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натыкания на неподвижную колющую поверхность (острие);</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запутаться, в том числе в растянутых по полу сварочных проводах, тросах, нитях;</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затягивания в подвижные части машин и механизмов;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наматывания волос, частей одежды, СИЗ;</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жидкости под давлением при выбросе (прорыве);</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газа под давлением при выбросе (прорыве);</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раздавливания, в том числе из-за наезда транспортного средства, из-за попадания под движущиеся части механизмов, из-за обрушения горной породы, из-за падения пиломатериалов, из-за падения;</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падения груза;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разрезания, отрезания от воздействия острых кромок при контакте с незащищенными участками тела;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пореза частей тела, в том числе кромкой листа бумаги, канцелярским ножом, ножницами, острыми кромками металлической стружки (при механической обработке металлических заготовок и деталей);</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 воздействия режущих инструментов (дисковые ножи, дисковые пилы);</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разрыва;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травмирования, в том числе в результате выброса подвижной обрабатываемой детали, падающими или выбрасываемыми предметами, движущимися частями оборудования, осколками при обрушении горной породы, снегом и (или) льдом, упавшими с крыш зданий и сооружений.</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2. Электрические опасности: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поражения током вследствие прямого контакта с токоведущими частями из-за касания незащищенными частями тела деталей, находящихся под напряжением;</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поражения током вследствие контакта с токоведущими частями, которые находятся под напряжением из-за неисправного состояния (косвенный контакт);</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поражения электростатическим зарядом;</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поражения током от наведенного напряжения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поражения вследствие возникновения электрической дуги;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поражения при прямом попадании молнии; косвенного поражения молнией.</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3. Термические опасности: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ожога при контакте незащищенных частей тела с поверхностью предметов, имеющих высокую температуру;</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ожога от воздействия на незащищенные участки тела материалов, жидкостей или газов, имеющих высокую температуру;</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ожога от воздействия открытого пламени;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теплового удара при длительном нахождении на открытом воздухе при прямом воздействии лучей солнца на незащищенную поверхность головы;</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теплового удара при длительном нахождении в помещении с высокой температурой воздуха;</w:t>
      </w:r>
    </w:p>
    <w:p>
      <w:pPr>
        <w:spacing w:line="240" w:lineRule="auto"/>
        <w:rPr>
          <w:rFonts w:hAnsi="Times New Roman" w:cs="Times New Roman"/>
          <w:color w:val="000000"/>
          <w:sz w:val="24"/>
          <w:szCs w:val="24"/>
        </w:rPr>
      </w:pPr>
      <w:r>
        <w:rPr>
          <w:rFonts w:hAnsi="Times New Roman" w:cs="Times New Roman"/>
          <w:color w:val="000000"/>
          <w:sz w:val="24"/>
          <w:szCs w:val="24"/>
        </w:rPr>
        <w:t> ожог роговицы глаза;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 воздействия на незащищенные участки тела материалов, жидкостей или газов, имеющих низкую температуру.</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4. Опасности, связанные с воздействием микроклимата, и климатические опасности: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пониженных температур воздуха;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повышенных температур воздуха;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влажности;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скорости движения воздуха.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5. Опасности из-за недостатка кислорода в воздухе: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недостатка кислорода в замкнутых технологических емкостях;</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недостатка кислорода в подземных сооружениях.</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6. Опасности, связанные с воздействием химического фактора: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 контакта с высокоопасными веществами;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 вдыхания паров вредных жидкостей, газов, пыли, тумана, дыма;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образования токсичных паров при нагревании;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на кожные покровы смазочных масел;</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на кожные покровы чистящих и обезжиривающих веществ.</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7. Опасности, связанные с воздействием аэрозолей преимущественно фиброгенного действия: </w:t>
      </w:r>
    </w:p>
    <w:p>
      <w:pPr>
        <w:spacing w:line="240" w:lineRule="auto"/>
        <w:rPr>
          <w:rFonts w:hAnsi="Times New Roman" w:cs="Times New Roman"/>
          <w:color w:val="000000"/>
          <w:sz w:val="24"/>
          <w:szCs w:val="24"/>
        </w:rPr>
      </w:pPr>
      <w:r>
        <w:rPr>
          <w:rFonts w:hAnsi="Times New Roman" w:cs="Times New Roman"/>
          <w:color w:val="000000"/>
          <w:sz w:val="24"/>
          <w:szCs w:val="24"/>
        </w:rPr>
        <w:t> воздействия пыли на глаза;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повреждения органов дыхания частицами пыли;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пыли на кожу;  опасность, связанная с выбросом пыли;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опасности воздействия воздушных взвесей вредных химических веществ;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на органы дыхания воздушных взвесей, содержащих смазочные масла;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на органы дыхания воздушных смесей, содержащих чистящие и обезжиривающие вещества.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8. Опасности, связанные с воздействием биологического фактора: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из-за воздействия микроорганизмов-продуцентов, препаратов, содержащих живые клетки и споры микроорганизмов;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из-за контакта с патогенными микроорганизмами;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опасности из-за укуса переносчиков инфекций.</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9. Опасности, связанные с воздействием тяжести и напряженности трудового процесса: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перемещением груза вручную;</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 подъема тяжестей, превышающих допустимый вес;</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наклонами корпуса;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рабочей позой;</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вредных для здоровья поз, связанных с чрезмерным напряжением тела;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физических перегрузок от периодического поднятия тяжелых узлов и деталей машин;</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психических нагрузок, стрессов;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перенапряжения зрительного анализатора.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10. Опасности, связанные с воздействием шума: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повреждения мембранной перепонки уха, связанная с воздействием шума высокой интенсивности;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возможностью не услышать звуковой сигнал об опасности.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11. Опасности, связанные с воздействием вибрации: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 воздействия локальной вибрации при использовании ручных механизмов;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воздействием общей вибраци</w:t>
      </w:r>
      <w:r>
        <w:rPr>
          <w:rFonts w:hAnsi="Times New Roman" w:cs="Times New Roman"/>
          <w:b/>
          <w:bCs/>
          <w:color w:val="000000"/>
          <w:sz w:val="24"/>
          <w:szCs w:val="24"/>
        </w:rPr>
        <w:t xml:space="preserve">и. </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12. Опасности, связанные с воздействием световой среды: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недостаточной освещенности в рабочей зоне;</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повышенной яркости света;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пониженной контрастности.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13. Опасности, связанные с воздействием неионизирующих излучений: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воздействием электростатического поля;</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воздействием электрического поля промышленной частоты;</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воздействием магнитного поля промышленной частоты;</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 электромагнитных излучений;</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воздействием ультрафиолетового излучения.</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14. Опасности, связанные с воздействием животных: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укуса;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разрыва;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раздавливания;</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заражения;</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выделений.</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15. Опасности, связанные с воздействием насекомых: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укуса;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попадания в организм;</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инвазий гельминтов.</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16. Опасности, связанные с воздействием растений: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пыльцы, фитонцидов и других веществ, выделяемых растениями;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ожога выделяемыми растениями веществами;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пореза растениями.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17. Опасность утонуть: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утонуть в водоеме;</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утонуть в технологической емкости.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18. Опасность расположения рабочего места: </w:t>
      </w:r>
    </w:p>
    <w:p>
      <w:pPr>
        <w:spacing w:line="240" w:lineRule="auto"/>
        <w:rPr>
          <w:rFonts w:hAnsi="Times New Roman" w:cs="Times New Roman"/>
          <w:color w:val="000000"/>
          <w:sz w:val="24"/>
          <w:szCs w:val="24"/>
        </w:rPr>
      </w:pPr>
      <w:r>
        <w:rPr>
          <w:rFonts w:hAnsi="Times New Roman" w:cs="Times New Roman"/>
          <w:color w:val="000000"/>
          <w:sz w:val="24"/>
          <w:szCs w:val="24"/>
        </w:rPr>
        <w:t> опасности выполнения электромонтажных работ на столбах, опорах высоковольтных передач;</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выполнения кровельных работ на крышах, имеющих большой угол наклона рабочей поверхности.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19. Опасности, связанные с организационными недостатками: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отсутствием на рабочем месте инструкций, содержащих порядок безопасного выполнения работ, и информации об имеющихся опасностях, связанных с выполнением рабочих операций;</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отсутствием описанных мероприятий (содержания действий) при возникновении неисправностей (опасных ситуаций) при обслуживании устройств, оборудования, приборов;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отсутствием на рабочем месте перечня возможных аварий;</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отсутствием на рабочем месте аптечки первой помощи, инструкции по оказанию первой помощи пострадавшему на производстве и средств связи;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отсутствием информации (схемы, знаков, разметки) о направлении эвакуации в случае возникновения аварии;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допуском работников, не прошедших подготовку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20. Опасность пожара: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 вдыхания дыма, паров вредных газов и пыли при пожаре;</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воспламенения;</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открытого пламени;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повышенной температуры окружающей среды;</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пониженной концентрации кислорода в воздухе;  опасность воздействия огнетушащих веществ;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осколков частей разрушившихся зданий, сооружений, строений.</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21. Опасность обрушения наземных конструкций. </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22. Опасность транспорта: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наезда на человека;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падения с транспортного средства;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раздавливания человека, находящегося между двумя сближающимися транспортными средствами;</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опрокидывания транспортного средства при нарушении способов установки и строповки грузов;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 груза, перемещающегося во время движения транспортного средства, из-за несоблюдения правил его укладки и крепления;</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травмирования в результате дорожно-транспортного происшествия;</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опрокидывания транспортного средства при проведении работ.</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23. Опасность, связанная с дегустацией пищевых продуктов (в кафе или столовой) - отравленной пищей. </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24. Опасность насилия: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насилия от враждебно настроенных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насилия от третьих лиц.</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25. Опасности взрыва: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самовозгорания горючих веществ;</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возникновения взрыва, происшедшего вследствие пожара;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ударной волны;</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воздействия высокого давления при взрыве;</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ожога при взрыве;</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обрушения горных пород при взрыве.</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26. Опасности, связанные с применением средств индивидуальной защиты: </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 несоответствием средств индивидуальной защиты анатомическим особенностям человека;</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связанная со скованностью, вызванной применением средств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опасность отравления)</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c1774029345c47d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